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859832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1024/11a, 130 00 Praha 3 – Žižkov, IČO: 013 12 774, Krajský pozemkový úřad pro</w:t>
      </w:r>
      <w:r w:rsidR="00A05CFB">
        <w:rPr>
          <w:rFonts w:ascii="Arial" w:hAnsi="Arial" w:cs="Arial"/>
          <w:sz w:val="22"/>
          <w:szCs w:val="22"/>
        </w:rPr>
        <w:t xml:space="preserve"> Ústecký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A05CFB">
        <w:rPr>
          <w:rFonts w:ascii="Arial" w:hAnsi="Arial" w:cs="Arial"/>
          <w:sz w:val="22"/>
          <w:szCs w:val="22"/>
        </w:rPr>
        <w:t>Teplice</w:t>
      </w:r>
      <w:r w:rsidRPr="00014665">
        <w:rPr>
          <w:rFonts w:ascii="Arial" w:hAnsi="Arial" w:cs="Arial"/>
          <w:snapToGrid w:val="0"/>
          <w:sz w:val="22"/>
          <w:szCs w:val="22"/>
        </w:rPr>
        <w:t>, na adrese</w:t>
      </w:r>
      <w:r w:rsidR="00A05CFB">
        <w:rPr>
          <w:rFonts w:ascii="Arial" w:hAnsi="Arial" w:cs="Arial"/>
          <w:snapToGrid w:val="0"/>
          <w:sz w:val="22"/>
          <w:szCs w:val="22"/>
        </w:rPr>
        <w:t xml:space="preserve"> Masarykova 2421/66, 415 01 Teplice.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147F942F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A05CFB">
        <w:rPr>
          <w:rFonts w:ascii="Arial" w:hAnsi="Arial" w:cs="Arial"/>
          <w:sz w:val="22"/>
          <w:szCs w:val="22"/>
        </w:rPr>
        <w:t>Ing. Soňou Balcárkovou, vedoucí Pobočky Teplice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6F326E7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A05CFB">
        <w:rPr>
          <w:rFonts w:ascii="Arial" w:hAnsi="Arial" w:cs="Arial"/>
          <w:sz w:val="22"/>
          <w:szCs w:val="22"/>
        </w:rPr>
        <w:t>Ing. Soňou Balcárkovou, vedoucí Pobočky Teplice</w:t>
      </w:r>
    </w:p>
    <w:p w14:paraId="75B59BEE" w14:textId="1D60572E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772E37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772E37">
        <w:rPr>
          <w:rFonts w:ascii="Arial" w:hAnsi="Arial" w:cs="Arial"/>
          <w:sz w:val="22"/>
          <w:szCs w:val="22"/>
        </w:rPr>
        <w:t>zastoupená</w:t>
      </w:r>
      <w:r w:rsidRPr="00772E37">
        <w:rPr>
          <w:rFonts w:ascii="Arial" w:hAnsi="Arial" w:cs="Arial"/>
          <w:sz w:val="22"/>
          <w:szCs w:val="22"/>
        </w:rPr>
        <w:t>:</w:t>
      </w:r>
      <w:r w:rsidRPr="00772E37">
        <w:rPr>
          <w:rFonts w:ascii="Arial" w:hAnsi="Arial" w:cs="Arial"/>
          <w:snapToGrid w:val="0"/>
          <w:sz w:val="22"/>
          <w:szCs w:val="22"/>
        </w:rPr>
        <w:t xml:space="preserve"> </w:t>
      </w:r>
      <w:r w:rsidR="00A05CFB" w:rsidRPr="00772E37">
        <w:rPr>
          <w:rFonts w:ascii="Arial" w:hAnsi="Arial" w:cs="Arial"/>
          <w:snapToGrid w:val="0"/>
          <w:sz w:val="22"/>
          <w:szCs w:val="22"/>
        </w:rPr>
        <w:t>Simona Bílková, pracovník Pobočky Teplice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D79C3D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05CFB">
        <w:rPr>
          <w:rFonts w:ascii="Arial" w:hAnsi="Arial" w:cs="Arial"/>
          <w:snapToGrid w:val="0"/>
          <w:sz w:val="22"/>
          <w:szCs w:val="22"/>
        </w:rPr>
        <w:t>+420 727 956 826</w:t>
      </w:r>
    </w:p>
    <w:p w14:paraId="6DA97DD3" w14:textId="223A280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2" w:history="1">
        <w:r w:rsidR="00A05CFB" w:rsidRPr="00631B11">
          <w:rPr>
            <w:rStyle w:val="Hypertextovodkaz"/>
            <w:rFonts w:ascii="Arial" w:hAnsi="Arial" w:cs="Arial"/>
            <w:snapToGrid w:val="0"/>
            <w:sz w:val="22"/>
            <w:szCs w:val="22"/>
          </w:rPr>
          <w:t>teplice.pk@spucr.cz</w:t>
        </w:r>
      </w:hyperlink>
      <w:r w:rsidR="00A05CFB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Zastoupená: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>: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Tel.: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1CAE886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D35D64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371708D0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D35D64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</w:t>
      </w:r>
      <w:r w:rsidR="00D35D64" w:rsidRPr="00D35D64">
        <w:rPr>
          <w:rFonts w:ascii="Arial" w:hAnsi="Arial" w:cs="Arial"/>
          <w:b/>
          <w:bCs/>
          <w:snapToGrid w:val="0"/>
          <w:sz w:val="22"/>
          <w:szCs w:val="22"/>
        </w:rPr>
        <w:t>po KoPÚ – Pobočka Teplice“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A2DC565" w:rsidR="00C05583" w:rsidRPr="00772E37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</w:t>
      </w:r>
      <w:r w:rsidR="2A2CE0EA" w:rsidRPr="00772E37">
        <w:rPr>
          <w:rFonts w:ascii="Arial" w:hAnsi="Arial" w:cs="Arial"/>
          <w:sz w:val="22"/>
          <w:szCs w:val="22"/>
        </w:rPr>
        <w:t>konkrétních pozemkových úpravách v</w:t>
      </w:r>
      <w:r w:rsidR="00D35D64" w:rsidRPr="00772E37">
        <w:rPr>
          <w:rFonts w:ascii="Arial" w:hAnsi="Arial" w:cs="Arial"/>
          <w:sz w:val="22"/>
          <w:szCs w:val="22"/>
        </w:rPr>
        <w:t> </w:t>
      </w:r>
      <w:r w:rsidR="2A2CE0EA" w:rsidRPr="00772E37">
        <w:rPr>
          <w:rFonts w:ascii="Arial" w:hAnsi="Arial" w:cs="Arial"/>
          <w:sz w:val="22"/>
          <w:szCs w:val="22"/>
        </w:rPr>
        <w:t>dotčen</w:t>
      </w:r>
      <w:r w:rsidR="00D35D64" w:rsidRPr="00772E37">
        <w:rPr>
          <w:rFonts w:ascii="Arial" w:hAnsi="Arial" w:cs="Arial"/>
          <w:sz w:val="22"/>
          <w:szCs w:val="22"/>
        </w:rPr>
        <w:t>ých katastrálních územích („</w:t>
      </w:r>
      <w:r w:rsidR="74F75FBC" w:rsidRPr="00772E37">
        <w:rPr>
          <w:rFonts w:ascii="Arial" w:hAnsi="Arial" w:cs="Arial"/>
          <w:sz w:val="22"/>
          <w:szCs w:val="22"/>
        </w:rPr>
        <w:t>k. ú</w:t>
      </w:r>
      <w:r w:rsidR="2A2CE0EA" w:rsidRPr="00772E37">
        <w:rPr>
          <w:rFonts w:ascii="Arial" w:hAnsi="Arial" w:cs="Arial"/>
          <w:sz w:val="22"/>
          <w:szCs w:val="22"/>
        </w:rPr>
        <w:t>.</w:t>
      </w:r>
      <w:r w:rsidR="00D35D64" w:rsidRPr="00772E37">
        <w:rPr>
          <w:rFonts w:ascii="Arial" w:hAnsi="Arial" w:cs="Arial"/>
          <w:sz w:val="22"/>
          <w:szCs w:val="22"/>
        </w:rPr>
        <w:t>“)</w:t>
      </w:r>
    </w:p>
    <w:p w14:paraId="62398B62" w14:textId="2EEF2AAB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679D3EF8" w:rsidR="00C05583" w:rsidRPr="00B5231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B52315">
        <w:rPr>
          <w:rFonts w:ascii="Arial" w:hAnsi="Arial" w:cs="Arial"/>
          <w:sz w:val="22"/>
          <w:szCs w:val="22"/>
        </w:rPr>
        <w:t>Podkladem pro vyt</w:t>
      </w:r>
      <w:r w:rsidR="00311E5C" w:rsidRPr="00B52315">
        <w:rPr>
          <w:rFonts w:ascii="Arial" w:hAnsi="Arial" w:cs="Arial"/>
          <w:sz w:val="22"/>
          <w:szCs w:val="22"/>
        </w:rPr>
        <w:t>y</w:t>
      </w:r>
      <w:r w:rsidRPr="00B5231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B52315">
        <w:rPr>
          <w:rFonts w:ascii="Arial" w:hAnsi="Arial" w:cs="Arial"/>
          <w:sz w:val="22"/>
          <w:szCs w:val="22"/>
        </w:rPr>
        <w:t xml:space="preserve">pozemků </w:t>
      </w:r>
      <w:r w:rsidR="008B50BB" w:rsidRPr="00B52315">
        <w:rPr>
          <w:rFonts w:ascii="Arial" w:hAnsi="Arial" w:cs="Arial"/>
          <w:sz w:val="22"/>
          <w:szCs w:val="22"/>
        </w:rPr>
        <w:t xml:space="preserve">jsou </w:t>
      </w:r>
      <w:r w:rsidRPr="00B5231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B52315">
        <w:rPr>
          <w:rFonts w:ascii="Arial" w:hAnsi="Arial" w:cs="Arial"/>
          <w:sz w:val="22"/>
          <w:szCs w:val="22"/>
        </w:rPr>
        <w:t xml:space="preserve"> vlastníků</w:t>
      </w:r>
      <w:r w:rsidRPr="00B52315">
        <w:rPr>
          <w:rFonts w:ascii="Arial" w:hAnsi="Arial" w:cs="Arial"/>
          <w:sz w:val="22"/>
          <w:szCs w:val="22"/>
        </w:rPr>
        <w:t xml:space="preserve"> o vyt</w:t>
      </w:r>
      <w:r w:rsidR="00183368" w:rsidRPr="00B52315">
        <w:rPr>
          <w:rFonts w:ascii="Arial" w:hAnsi="Arial" w:cs="Arial"/>
          <w:sz w:val="22"/>
          <w:szCs w:val="22"/>
        </w:rPr>
        <w:t>y</w:t>
      </w:r>
      <w:r w:rsidRPr="00B52315">
        <w:rPr>
          <w:rFonts w:ascii="Arial" w:hAnsi="Arial" w:cs="Arial"/>
          <w:sz w:val="22"/>
          <w:szCs w:val="22"/>
        </w:rPr>
        <w:t xml:space="preserve">čení vedené u KPÚ pro </w:t>
      </w:r>
      <w:r w:rsidR="00D35D64" w:rsidRPr="00B52315">
        <w:rPr>
          <w:rFonts w:ascii="Arial" w:hAnsi="Arial" w:cs="Arial"/>
          <w:sz w:val="22"/>
          <w:szCs w:val="22"/>
        </w:rPr>
        <w:t>Ústecký kraj</w:t>
      </w:r>
      <w:r w:rsidR="007256EE" w:rsidRPr="00B52315">
        <w:rPr>
          <w:rFonts w:ascii="Arial" w:hAnsi="Arial" w:cs="Arial"/>
          <w:sz w:val="22"/>
          <w:szCs w:val="22"/>
        </w:rPr>
        <w:t xml:space="preserve">, Pobočky </w:t>
      </w:r>
      <w:r w:rsidR="00D35D64" w:rsidRPr="00B52315">
        <w:rPr>
          <w:rFonts w:ascii="Arial" w:hAnsi="Arial" w:cs="Arial"/>
          <w:sz w:val="22"/>
          <w:szCs w:val="22"/>
        </w:rPr>
        <w:t>Teplice.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06469EAD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D07A386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5E38D0">
        <w:rPr>
          <w:rFonts w:ascii="Arial" w:hAnsi="Arial" w:cs="Arial"/>
          <w:sz w:val="22"/>
          <w:szCs w:val="22"/>
        </w:rPr>
        <w:t>pozemků</w:t>
      </w:r>
      <w:r w:rsidR="002744AA" w:rsidRPr="005E38D0">
        <w:rPr>
          <w:rFonts w:ascii="Arial" w:hAnsi="Arial" w:cs="Arial"/>
          <w:sz w:val="22"/>
          <w:szCs w:val="22"/>
        </w:rPr>
        <w:t xml:space="preserve"> </w:t>
      </w:r>
      <w:r w:rsidR="00C05583" w:rsidRPr="005E38D0">
        <w:rPr>
          <w:rFonts w:ascii="Arial" w:hAnsi="Arial" w:cs="Arial"/>
          <w:sz w:val="22"/>
          <w:szCs w:val="22"/>
        </w:rPr>
        <w:t>v k.</w:t>
      </w:r>
      <w:r w:rsidR="00BF373E" w:rsidRPr="005E38D0">
        <w:rPr>
          <w:rFonts w:ascii="Arial" w:hAnsi="Arial" w:cs="Arial"/>
          <w:sz w:val="22"/>
          <w:szCs w:val="22"/>
        </w:rPr>
        <w:t xml:space="preserve"> </w:t>
      </w:r>
      <w:r w:rsidR="00C05583" w:rsidRPr="005E38D0">
        <w:rPr>
          <w:rFonts w:ascii="Arial" w:hAnsi="Arial" w:cs="Arial"/>
          <w:sz w:val="22"/>
          <w:szCs w:val="22"/>
        </w:rPr>
        <w:t>ú.</w:t>
      </w:r>
      <w:r w:rsidR="002F6689" w:rsidRPr="005E38D0">
        <w:rPr>
          <w:rFonts w:ascii="Arial" w:hAnsi="Arial" w:cs="Arial"/>
          <w:sz w:val="22"/>
          <w:szCs w:val="22"/>
        </w:rPr>
        <w:t xml:space="preserve"> </w:t>
      </w:r>
      <w:r w:rsidR="008F4747" w:rsidRPr="005E38D0">
        <w:rPr>
          <w:rFonts w:ascii="Arial" w:hAnsi="Arial" w:cs="Arial"/>
          <w:sz w:val="22"/>
          <w:szCs w:val="22"/>
        </w:rPr>
        <w:t>Štrbice, Štěpánov</w:t>
      </w:r>
      <w:r w:rsidR="005E38D0" w:rsidRPr="005E38D0">
        <w:rPr>
          <w:rFonts w:ascii="Arial" w:hAnsi="Arial" w:cs="Arial"/>
          <w:sz w:val="22"/>
          <w:szCs w:val="22"/>
        </w:rPr>
        <w:t xml:space="preserve"> u Lukova</w:t>
      </w:r>
      <w:r w:rsidR="008F4747" w:rsidRPr="005E38D0">
        <w:rPr>
          <w:rFonts w:ascii="Arial" w:hAnsi="Arial" w:cs="Arial"/>
          <w:sz w:val="22"/>
          <w:szCs w:val="22"/>
        </w:rPr>
        <w:t>, Křemýž, Radovesice</w:t>
      </w:r>
      <w:r w:rsidR="005D3212" w:rsidRPr="005E38D0">
        <w:rPr>
          <w:rFonts w:ascii="Arial" w:hAnsi="Arial" w:cs="Arial"/>
          <w:sz w:val="22"/>
          <w:szCs w:val="22"/>
        </w:rPr>
        <w:t xml:space="preserve"> u Bíliny</w:t>
      </w:r>
      <w:r w:rsidR="008F4747" w:rsidRPr="005E38D0">
        <w:rPr>
          <w:rFonts w:ascii="Arial" w:hAnsi="Arial" w:cs="Arial"/>
          <w:sz w:val="22"/>
          <w:szCs w:val="22"/>
        </w:rPr>
        <w:t>, Hetov (okres Teplice); Chvalov, Podlešín u Stebna (okres Ústí nad Labem)</w:t>
      </w:r>
      <w:r w:rsidR="00EF29D9" w:rsidRPr="005E38D0">
        <w:rPr>
          <w:rFonts w:ascii="Arial" w:hAnsi="Arial" w:cs="Arial"/>
          <w:sz w:val="22"/>
          <w:szCs w:val="22"/>
        </w:rPr>
        <w:t xml:space="preserve"> </w:t>
      </w:r>
      <w:r w:rsidR="003E5EEC" w:rsidRPr="005E38D0">
        <w:rPr>
          <w:rFonts w:ascii="Arial" w:hAnsi="Arial" w:cs="Arial"/>
          <w:sz w:val="22"/>
          <w:szCs w:val="22"/>
        </w:rPr>
        <w:t>včetně</w:t>
      </w:r>
      <w:r w:rsidR="003E5EEC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090D3FAE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001169" w:rsidRPr="00014665">
        <w:rPr>
          <w:rFonts w:ascii="Arial" w:hAnsi="Arial" w:cs="Arial"/>
          <w:sz w:val="22"/>
          <w:szCs w:val="22"/>
        </w:rPr>
        <w:t>…………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</w:t>
      </w:r>
      <w:r w:rsidR="00ED75A0" w:rsidRPr="00014665">
        <w:rPr>
          <w:rFonts w:ascii="Arial" w:hAnsi="Arial" w:cs="Arial"/>
          <w:sz w:val="22"/>
          <w:szCs w:val="22"/>
        </w:rPr>
        <w:lastRenderedPageBreak/>
        <w:t xml:space="preserve">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13707BB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E67C7C">
        <w:rPr>
          <w:rFonts w:ascii="Arial" w:hAnsi="Arial" w:cs="Arial"/>
          <w:sz w:val="22"/>
          <w:szCs w:val="22"/>
        </w:rPr>
        <w:t xml:space="preserve">Ústecký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E67C7C" w:rsidRPr="00B52315">
        <w:rPr>
          <w:rFonts w:ascii="Arial" w:hAnsi="Arial" w:cs="Arial"/>
          <w:sz w:val="22"/>
          <w:szCs w:val="22"/>
        </w:rPr>
        <w:t>Teplice</w:t>
      </w:r>
      <w:r w:rsidR="00EF29D9" w:rsidRPr="00B52315">
        <w:rPr>
          <w:rFonts w:ascii="Arial" w:hAnsi="Arial" w:cs="Arial"/>
          <w:sz w:val="22"/>
          <w:szCs w:val="22"/>
        </w:rPr>
        <w:t xml:space="preserve"> </w:t>
      </w:r>
      <w:r w:rsidR="00D05D09" w:rsidRPr="00B52315">
        <w:rPr>
          <w:rFonts w:ascii="Arial" w:hAnsi="Arial" w:cs="Arial"/>
          <w:sz w:val="22"/>
          <w:szCs w:val="22"/>
        </w:rPr>
        <w:t>(</w:t>
      </w:r>
      <w:r w:rsidR="00FD4817" w:rsidRPr="00B52315">
        <w:rPr>
          <w:rFonts w:ascii="Arial" w:hAnsi="Arial" w:cs="Arial"/>
          <w:sz w:val="22"/>
          <w:szCs w:val="22"/>
        </w:rPr>
        <w:t>vytyčovací náčrty a protokoly o vyt</w:t>
      </w:r>
      <w:r w:rsidR="00311E5C" w:rsidRPr="00B52315">
        <w:rPr>
          <w:rFonts w:ascii="Arial" w:hAnsi="Arial" w:cs="Arial"/>
          <w:sz w:val="22"/>
          <w:szCs w:val="22"/>
        </w:rPr>
        <w:t>y</w:t>
      </w:r>
      <w:r w:rsidR="00FD4817" w:rsidRPr="00B52315">
        <w:rPr>
          <w:rFonts w:ascii="Arial" w:hAnsi="Arial" w:cs="Arial"/>
          <w:sz w:val="22"/>
          <w:szCs w:val="22"/>
        </w:rPr>
        <w:t>čení hranic</w:t>
      </w:r>
      <w:r w:rsidR="00D05D09" w:rsidRPr="00B52315">
        <w:rPr>
          <w:rFonts w:ascii="Arial" w:hAnsi="Arial" w:cs="Arial"/>
          <w:sz w:val="22"/>
          <w:szCs w:val="22"/>
        </w:rPr>
        <w:t>)</w:t>
      </w:r>
      <w:r w:rsidR="00FD4817" w:rsidRPr="00B52315">
        <w:rPr>
          <w:rFonts w:ascii="Arial" w:hAnsi="Arial" w:cs="Arial"/>
          <w:sz w:val="22"/>
          <w:szCs w:val="22"/>
        </w:rPr>
        <w:t xml:space="preserve"> v</w:t>
      </w:r>
      <w:r w:rsidR="007F6D2D" w:rsidRPr="00B52315">
        <w:rPr>
          <w:rFonts w:ascii="Arial" w:hAnsi="Arial" w:cs="Arial"/>
          <w:sz w:val="22"/>
          <w:szCs w:val="22"/>
        </w:rPr>
        <w:t xml:space="preserve"> počtu </w:t>
      </w:r>
      <w:r w:rsidR="00E67C7C" w:rsidRPr="00B52315">
        <w:rPr>
          <w:rFonts w:ascii="Arial" w:hAnsi="Arial" w:cs="Arial"/>
          <w:sz w:val="22"/>
          <w:szCs w:val="22"/>
        </w:rPr>
        <w:t>1</w:t>
      </w:r>
      <w:r w:rsidR="00EF29D9" w:rsidRPr="00B52315">
        <w:rPr>
          <w:rFonts w:ascii="Arial" w:hAnsi="Arial" w:cs="Arial"/>
          <w:sz w:val="22"/>
          <w:szCs w:val="22"/>
        </w:rPr>
        <w:t xml:space="preserve"> </w:t>
      </w:r>
      <w:r w:rsidR="00FB28EB" w:rsidRPr="00B52315">
        <w:rPr>
          <w:rFonts w:ascii="Arial" w:hAnsi="Arial" w:cs="Arial"/>
          <w:sz w:val="22"/>
          <w:szCs w:val="22"/>
        </w:rPr>
        <w:t>vyhotovení</w:t>
      </w:r>
      <w:r w:rsidR="00FD4817" w:rsidRPr="00B52315">
        <w:rPr>
          <w:rFonts w:ascii="Arial" w:hAnsi="Arial" w:cs="Arial"/>
          <w:sz w:val="22"/>
          <w:szCs w:val="22"/>
        </w:rPr>
        <w:t xml:space="preserve">. </w:t>
      </w:r>
      <w:r w:rsidR="00354E99" w:rsidRPr="00B52315">
        <w:rPr>
          <w:rFonts w:ascii="Arial" w:hAnsi="Arial" w:cs="Arial"/>
          <w:sz w:val="22"/>
          <w:szCs w:val="22"/>
        </w:rPr>
        <w:t>Kopie</w:t>
      </w:r>
      <w:r w:rsidR="00354E99" w:rsidRPr="00014665">
        <w:rPr>
          <w:rFonts w:ascii="Arial" w:hAnsi="Arial" w:cs="Arial"/>
          <w:sz w:val="22"/>
          <w:szCs w:val="22"/>
        </w:rPr>
        <w:t xml:space="preserve">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71659AF3" w:rsidR="00FD4817" w:rsidRPr="00E67C7C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E67C7C">
        <w:rPr>
          <w:rFonts w:ascii="Arial" w:hAnsi="Arial" w:cs="Arial"/>
          <w:b/>
          <w:bCs/>
          <w:sz w:val="22"/>
          <w:szCs w:val="22"/>
        </w:rPr>
        <w:t xml:space="preserve">do </w:t>
      </w:r>
      <w:r w:rsidR="00E67C7C" w:rsidRPr="00E67C7C">
        <w:rPr>
          <w:rFonts w:ascii="Arial" w:hAnsi="Arial" w:cs="Arial"/>
          <w:b/>
          <w:bCs/>
          <w:sz w:val="22"/>
          <w:szCs w:val="22"/>
        </w:rPr>
        <w:t>29. 9. 2023.</w:t>
      </w:r>
    </w:p>
    <w:p w14:paraId="07965649" w14:textId="71B43F26" w:rsidR="00FD4817" w:rsidRPr="005E38D0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5E38D0">
        <w:rPr>
          <w:rFonts w:ascii="Arial" w:hAnsi="Arial" w:cs="Arial"/>
          <w:sz w:val="22"/>
          <w:szCs w:val="22"/>
        </w:rPr>
        <w:t xml:space="preserve">Místo plnění </w:t>
      </w:r>
      <w:r w:rsidR="00BF373E" w:rsidRPr="005E38D0">
        <w:rPr>
          <w:rFonts w:ascii="Arial" w:hAnsi="Arial" w:cs="Arial"/>
          <w:sz w:val="22"/>
          <w:szCs w:val="22"/>
        </w:rPr>
        <w:t>D</w:t>
      </w:r>
      <w:r w:rsidRPr="005E38D0">
        <w:rPr>
          <w:rFonts w:ascii="Arial" w:hAnsi="Arial" w:cs="Arial"/>
          <w:sz w:val="22"/>
          <w:szCs w:val="22"/>
        </w:rPr>
        <w:t>íla:</w:t>
      </w:r>
      <w:r w:rsidR="00977C0C" w:rsidRPr="005E38D0">
        <w:rPr>
          <w:rFonts w:ascii="Arial" w:hAnsi="Arial" w:cs="Arial"/>
          <w:sz w:val="22"/>
          <w:szCs w:val="22"/>
        </w:rPr>
        <w:t xml:space="preserve"> </w:t>
      </w:r>
      <w:r w:rsidR="00D6451F" w:rsidRPr="005E38D0">
        <w:rPr>
          <w:rFonts w:ascii="Arial" w:hAnsi="Arial" w:cs="Arial"/>
          <w:sz w:val="22"/>
          <w:szCs w:val="22"/>
        </w:rPr>
        <w:t>katastrální území:</w:t>
      </w:r>
      <w:r w:rsidR="003F50DE" w:rsidRPr="005E38D0">
        <w:rPr>
          <w:rFonts w:ascii="Arial" w:hAnsi="Arial" w:cs="Arial"/>
          <w:sz w:val="22"/>
          <w:szCs w:val="22"/>
        </w:rPr>
        <w:t xml:space="preserve"> </w:t>
      </w:r>
      <w:bookmarkStart w:id="0" w:name="_Hlk131505066"/>
      <w:r w:rsidR="003F50DE" w:rsidRPr="005E38D0">
        <w:rPr>
          <w:rFonts w:ascii="Arial" w:hAnsi="Arial" w:cs="Arial"/>
          <w:sz w:val="22"/>
          <w:szCs w:val="22"/>
        </w:rPr>
        <w:t>Štrbice, Štěpánov</w:t>
      </w:r>
      <w:r w:rsidR="005E38D0" w:rsidRPr="005E38D0">
        <w:rPr>
          <w:rFonts w:ascii="Arial" w:hAnsi="Arial" w:cs="Arial"/>
          <w:sz w:val="22"/>
          <w:szCs w:val="22"/>
        </w:rPr>
        <w:t xml:space="preserve"> u Lukova</w:t>
      </w:r>
      <w:r w:rsidR="003F50DE" w:rsidRPr="005E38D0">
        <w:rPr>
          <w:rFonts w:ascii="Arial" w:hAnsi="Arial" w:cs="Arial"/>
          <w:sz w:val="22"/>
          <w:szCs w:val="22"/>
        </w:rPr>
        <w:t>, Křemýž, Radovesice u Bíliny, Hetov okres Teplice; katastrální území: Chvalov, Podlešín u Stebna, okres Ústí nad Labem</w:t>
      </w:r>
      <w:bookmarkEnd w:id="0"/>
      <w:r w:rsidR="00643337" w:rsidRPr="005E38D0">
        <w:rPr>
          <w:rFonts w:ascii="Arial" w:hAnsi="Arial" w:cs="Arial"/>
          <w:sz w:val="22"/>
          <w:szCs w:val="22"/>
        </w:rPr>
        <w:t xml:space="preserve"> </w:t>
      </w:r>
      <w:r w:rsidR="00500B0F" w:rsidRPr="005E38D0">
        <w:rPr>
          <w:rFonts w:ascii="Arial" w:hAnsi="Arial" w:cs="Arial"/>
          <w:sz w:val="22"/>
          <w:szCs w:val="22"/>
        </w:rPr>
        <w:t>(</w:t>
      </w:r>
      <w:r w:rsidR="00D6451F" w:rsidRPr="005E38D0">
        <w:rPr>
          <w:rFonts w:ascii="Arial" w:hAnsi="Arial" w:cs="Arial"/>
          <w:sz w:val="22"/>
          <w:szCs w:val="22"/>
        </w:rPr>
        <w:t xml:space="preserve">viz </w:t>
      </w:r>
      <w:r w:rsidR="004A5B21" w:rsidRPr="005E38D0">
        <w:rPr>
          <w:rFonts w:ascii="Arial" w:hAnsi="Arial" w:cs="Arial"/>
          <w:sz w:val="22"/>
          <w:szCs w:val="22"/>
        </w:rPr>
        <w:t>P</w:t>
      </w:r>
      <w:r w:rsidR="00D6451F" w:rsidRPr="005E38D0">
        <w:rPr>
          <w:rFonts w:ascii="Arial" w:hAnsi="Arial" w:cs="Arial"/>
          <w:sz w:val="22"/>
          <w:szCs w:val="22"/>
        </w:rPr>
        <w:t xml:space="preserve">říloha č. </w:t>
      </w:r>
      <w:r w:rsidR="00B52315">
        <w:rPr>
          <w:rFonts w:ascii="Arial" w:hAnsi="Arial" w:cs="Arial"/>
          <w:sz w:val="22"/>
          <w:szCs w:val="22"/>
        </w:rPr>
        <w:t>1</w:t>
      </w:r>
      <w:r w:rsidR="00500B0F" w:rsidRPr="005E38D0">
        <w:rPr>
          <w:rFonts w:ascii="Arial" w:hAnsi="Arial" w:cs="Arial"/>
          <w:sz w:val="22"/>
          <w:szCs w:val="22"/>
        </w:rPr>
        <w:t>).</w:t>
      </w:r>
    </w:p>
    <w:p w14:paraId="2D78EFEF" w14:textId="45971ED4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3F50DE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3F50DE">
        <w:rPr>
          <w:rFonts w:ascii="Arial" w:hAnsi="Arial" w:cs="Arial"/>
          <w:sz w:val="22"/>
          <w:szCs w:val="22"/>
        </w:rPr>
        <w:t>Státní pozemkový úřad, Krajský pozemkový úřad pro Ústecký kraj, Pobočka Teplice, Masarykova 2421/66, 415 01 Teplice.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981B5C2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237D27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4873A657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="00237D27">
        <w:rPr>
          <w:rFonts w:ascii="Arial" w:hAnsi="Arial" w:cs="Arial"/>
          <w:sz w:val="22"/>
          <w:szCs w:val="22"/>
        </w:rPr>
        <w:t xml:space="preserve"> </w:t>
      </w:r>
      <w:r w:rsidR="1ED011F6" w:rsidRPr="00237D27">
        <w:rPr>
          <w:rFonts w:ascii="Arial" w:hAnsi="Arial" w:cs="Arial"/>
          <w:sz w:val="22"/>
          <w:szCs w:val="22"/>
          <w:highlight w:val="yellow"/>
        </w:rPr>
        <w:t>60+</w:t>
      </w:r>
      <w:proofErr w:type="gramStart"/>
      <w:r w:rsidR="1ED011F6" w:rsidRPr="00237D27">
        <w:rPr>
          <w:rFonts w:ascii="Arial" w:hAnsi="Arial" w:cs="Arial"/>
          <w:sz w:val="22"/>
          <w:szCs w:val="22"/>
          <w:highlight w:val="yellow"/>
        </w:rPr>
        <w:t>…</w:t>
      </w:r>
      <w:r w:rsidR="396D3E07" w:rsidRPr="00237D27">
        <w:rPr>
          <w:rFonts w:ascii="Arial" w:hAnsi="Arial" w:cs="Arial"/>
          <w:sz w:val="22"/>
          <w:szCs w:val="22"/>
          <w:highlight w:val="yellow"/>
        </w:rPr>
        <w:t>…</w:t>
      </w:r>
      <w:r w:rsidR="1ED011F6" w:rsidRPr="00237D27">
        <w:rPr>
          <w:rFonts w:ascii="Arial" w:hAnsi="Arial" w:cs="Arial"/>
          <w:sz w:val="22"/>
          <w:szCs w:val="22"/>
          <w:highlight w:val="yellow"/>
        </w:rPr>
        <w:t>.</w:t>
      </w:r>
      <w:proofErr w:type="gramEnd"/>
      <w:r w:rsidR="1ED011F6" w:rsidRPr="00237D27">
        <w:rPr>
          <w:rFonts w:ascii="Arial" w:hAnsi="Arial" w:cs="Arial"/>
          <w:sz w:val="22"/>
          <w:szCs w:val="22"/>
          <w:highlight w:val="yellow"/>
        </w:rPr>
        <w:t>.</w:t>
      </w:r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958506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</w:t>
      </w:r>
      <w:r w:rsidR="00163AEF" w:rsidRPr="00B52315">
        <w:rPr>
          <w:rFonts w:ascii="Arial" w:hAnsi="Arial" w:cs="Arial"/>
          <w:sz w:val="22"/>
          <w:szCs w:val="22"/>
        </w:rPr>
        <w:t xml:space="preserve">termínem jejího odstranění, který nebude delší než </w:t>
      </w:r>
      <w:r w:rsidR="00237D27" w:rsidRPr="00B52315">
        <w:rPr>
          <w:rFonts w:ascii="Arial" w:hAnsi="Arial" w:cs="Arial"/>
          <w:sz w:val="22"/>
          <w:szCs w:val="22"/>
        </w:rPr>
        <w:t>30</w:t>
      </w:r>
      <w:r w:rsidR="00163AEF" w:rsidRPr="00B52315">
        <w:rPr>
          <w:rFonts w:ascii="Arial" w:hAnsi="Arial" w:cs="Arial"/>
          <w:sz w:val="22"/>
          <w:szCs w:val="22"/>
        </w:rPr>
        <w:t xml:space="preserve"> dní od zjištění vady. Opravenou</w:t>
      </w:r>
      <w:r w:rsidR="00163AEF" w:rsidRPr="00014665">
        <w:rPr>
          <w:rFonts w:ascii="Arial" w:hAnsi="Arial" w:cs="Arial"/>
          <w:sz w:val="22"/>
          <w:szCs w:val="22"/>
        </w:rPr>
        <w:t xml:space="preserve">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32BEB454" w14:textId="77777777" w:rsidR="00772E37" w:rsidRDefault="00772E37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</w:p>
    <w:p w14:paraId="7AB04E75" w14:textId="27F31022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316F5FAC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237D27">
        <w:rPr>
          <w:rFonts w:ascii="Arial" w:hAnsi="Arial" w:cs="Arial"/>
          <w:b/>
          <w:bCs/>
          <w:sz w:val="22"/>
          <w:szCs w:val="22"/>
        </w:rPr>
        <w:t>646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2AE78520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B5231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B52315">
        <w:rPr>
          <w:rFonts w:ascii="Arial" w:hAnsi="Arial" w:cs="Arial"/>
          <w:sz w:val="22"/>
          <w:szCs w:val="22"/>
        </w:rPr>
        <w:t>MJ</w:t>
      </w:r>
      <w:r w:rsidRPr="00B52315">
        <w:rPr>
          <w:rFonts w:ascii="Arial" w:hAnsi="Arial" w:cs="Arial"/>
          <w:sz w:val="22"/>
          <w:szCs w:val="22"/>
        </w:rPr>
        <w:t xml:space="preserve"> (tj. 100 bm</w:t>
      </w:r>
      <w:r w:rsidR="2D092EFF" w:rsidRPr="00B52315">
        <w:rPr>
          <w:rFonts w:ascii="Arial" w:hAnsi="Arial" w:cs="Arial"/>
          <w:sz w:val="22"/>
          <w:szCs w:val="22"/>
        </w:rPr>
        <w:t xml:space="preserve"> </w:t>
      </w:r>
      <w:r w:rsidR="2169E990" w:rsidRPr="00B52315">
        <w:rPr>
          <w:rFonts w:ascii="Arial" w:hAnsi="Arial" w:cs="Arial"/>
          <w:sz w:val="22"/>
          <w:szCs w:val="22"/>
        </w:rPr>
        <w:t xml:space="preserve">včetně </w:t>
      </w:r>
      <w:r w:rsidR="69410C14" w:rsidRPr="00B52315">
        <w:rPr>
          <w:rFonts w:ascii="Arial" w:hAnsi="Arial" w:cs="Arial"/>
          <w:sz w:val="22"/>
          <w:szCs w:val="22"/>
        </w:rPr>
        <w:t xml:space="preserve"> označení lomových bodů</w:t>
      </w:r>
      <w:r w:rsidRPr="00B52315">
        <w:rPr>
          <w:rFonts w:ascii="Arial" w:hAnsi="Arial" w:cs="Arial"/>
          <w:sz w:val="22"/>
          <w:szCs w:val="22"/>
        </w:rPr>
        <w:t xml:space="preserve"> měřené hranice</w:t>
      </w:r>
      <w:r w:rsidR="00B52315" w:rsidRPr="00B52315">
        <w:rPr>
          <w:rFonts w:ascii="Arial" w:hAnsi="Arial" w:cs="Arial"/>
          <w:sz w:val="22"/>
          <w:szCs w:val="22"/>
        </w:rPr>
        <w:t>)</w:t>
      </w:r>
      <w:r w:rsidR="59F23164" w:rsidRPr="00B52315">
        <w:rPr>
          <w:rFonts w:ascii="Arial" w:hAnsi="Arial" w:cs="Arial"/>
          <w:sz w:val="22"/>
          <w:szCs w:val="22"/>
        </w:rPr>
        <w:t>.</w:t>
      </w:r>
      <w:r w:rsidRPr="00B52315">
        <w:rPr>
          <w:rFonts w:ascii="Arial" w:hAnsi="Arial" w:cs="Arial"/>
          <w:sz w:val="22"/>
          <w:szCs w:val="22"/>
        </w:rPr>
        <w:t xml:space="preserve"> </w:t>
      </w:r>
      <w:r w:rsidR="42F9CCD9" w:rsidRPr="00B52315">
        <w:rPr>
          <w:rFonts w:ascii="Arial" w:hAnsi="Arial" w:cs="Arial"/>
          <w:sz w:val="22"/>
          <w:szCs w:val="22"/>
        </w:rPr>
        <w:t>D</w:t>
      </w:r>
      <w:r w:rsidR="2DFFDE13" w:rsidRPr="00B52315">
        <w:rPr>
          <w:rFonts w:ascii="Arial" w:hAnsi="Arial" w:cs="Arial"/>
          <w:sz w:val="22"/>
          <w:szCs w:val="22"/>
        </w:rPr>
        <w:t xml:space="preserve">élky vytyčených hranic </w:t>
      </w:r>
      <w:r w:rsidRPr="00B52315">
        <w:rPr>
          <w:rFonts w:ascii="Arial" w:hAnsi="Arial" w:cs="Arial"/>
          <w:sz w:val="22"/>
          <w:szCs w:val="22"/>
        </w:rPr>
        <w:t xml:space="preserve">se sčítají za </w:t>
      </w:r>
      <w:r w:rsidR="27E245EA" w:rsidRPr="00B52315">
        <w:rPr>
          <w:rFonts w:ascii="Arial" w:hAnsi="Arial" w:cs="Arial"/>
          <w:sz w:val="22"/>
          <w:szCs w:val="22"/>
        </w:rPr>
        <w:t xml:space="preserve">fakturovanou </w:t>
      </w:r>
      <w:r w:rsidR="06FE034C" w:rsidRPr="00B52315">
        <w:rPr>
          <w:rFonts w:ascii="Arial" w:hAnsi="Arial" w:cs="Arial"/>
          <w:sz w:val="22"/>
          <w:szCs w:val="22"/>
        </w:rPr>
        <w:t>část</w:t>
      </w:r>
      <w:r w:rsidR="7CE88706" w:rsidRPr="00B52315">
        <w:rPr>
          <w:rFonts w:ascii="Arial" w:hAnsi="Arial" w:cs="Arial"/>
          <w:sz w:val="22"/>
          <w:szCs w:val="22"/>
        </w:rPr>
        <w:t xml:space="preserve"> </w:t>
      </w:r>
      <w:r w:rsidR="7AB0CA43" w:rsidRPr="00B52315">
        <w:rPr>
          <w:rFonts w:ascii="Arial" w:hAnsi="Arial" w:cs="Arial"/>
          <w:sz w:val="22"/>
          <w:szCs w:val="22"/>
        </w:rPr>
        <w:t>D</w:t>
      </w:r>
      <w:r w:rsidRPr="00B52315">
        <w:rPr>
          <w:rFonts w:ascii="Arial" w:hAnsi="Arial" w:cs="Arial"/>
          <w:sz w:val="22"/>
          <w:szCs w:val="22"/>
        </w:rPr>
        <w:t>íl</w:t>
      </w:r>
      <w:r w:rsidR="7CE88706" w:rsidRPr="00B5231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106D55B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237D27">
        <w:rPr>
          <w:rFonts w:ascii="Arial" w:hAnsi="Arial" w:cs="Arial"/>
          <w:b/>
          <w:snapToGrid w:val="0"/>
          <w:sz w:val="22"/>
          <w:szCs w:val="22"/>
        </w:rPr>
        <w:t xml:space="preserve">Ústecký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kraj, Pobočka</w:t>
      </w:r>
      <w:r w:rsidR="00237D27">
        <w:rPr>
          <w:rFonts w:ascii="Arial" w:hAnsi="Arial" w:cs="Arial"/>
          <w:b/>
          <w:snapToGrid w:val="0"/>
          <w:sz w:val="22"/>
          <w:szCs w:val="22"/>
        </w:rPr>
        <w:t xml:space="preserve"> Teplice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proofErr w:type="spellStart"/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237D27" w:rsidRPr="00237D27">
        <w:rPr>
          <w:rFonts w:ascii="Arial" w:hAnsi="Arial" w:cs="Arial"/>
          <w:b/>
          <w:bCs/>
          <w:snapToGrid w:val="0"/>
          <w:sz w:val="22"/>
          <w:szCs w:val="22"/>
        </w:rPr>
        <w:t>Masarykova</w:t>
      </w:r>
      <w:proofErr w:type="spellEnd"/>
      <w:r w:rsidR="00237D27" w:rsidRPr="00237D27">
        <w:rPr>
          <w:rFonts w:ascii="Arial" w:hAnsi="Arial" w:cs="Arial"/>
          <w:b/>
          <w:bCs/>
          <w:snapToGrid w:val="0"/>
          <w:sz w:val="22"/>
          <w:szCs w:val="22"/>
        </w:rPr>
        <w:t xml:space="preserve"> 2421/66, 415 01 Teplice</w:t>
      </w:r>
      <w:r w:rsidR="00237D27">
        <w:rPr>
          <w:rFonts w:ascii="Arial" w:hAnsi="Arial" w:cs="Arial"/>
          <w:snapToGrid w:val="0"/>
          <w:sz w:val="22"/>
          <w:szCs w:val="22"/>
        </w:rPr>
        <w:t xml:space="preserve">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>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1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1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6682E54B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okrese……...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4D0C2DD6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2" w:name="_Hlk51932588"/>
    </w:p>
    <w:p w14:paraId="674758BC" w14:textId="37241703" w:rsidR="00CC34C3" w:rsidRDefault="00CC34C3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7E93AB72" w14:textId="56710CA7" w:rsidR="00CC34C3" w:rsidRDefault="00CC34C3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49FF353D" w14:textId="5EAA4571" w:rsidR="00CC34C3" w:rsidRDefault="00CC34C3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4536E98D" w14:textId="66AA9678" w:rsidR="00CC34C3" w:rsidRDefault="00CC34C3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95B680A" w14:textId="77777777" w:rsidR="00CC34C3" w:rsidRPr="00014665" w:rsidRDefault="00CC34C3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lastRenderedPageBreak/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0E141616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237D27">
        <w:rPr>
          <w:rFonts w:ascii="Arial" w:hAnsi="Arial" w:cs="Arial"/>
          <w:sz w:val="22"/>
          <w:szCs w:val="22"/>
        </w:rPr>
        <w:t>Teplice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7AF64F06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237D27">
        <w:rPr>
          <w:rFonts w:ascii="Arial" w:hAnsi="Arial" w:cs="Arial"/>
          <w:sz w:val="22"/>
          <w:szCs w:val="22"/>
        </w:rPr>
        <w:t>Ing. Soňa Balcárková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06FFEBFD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237D27">
        <w:rPr>
          <w:rFonts w:ascii="Arial" w:hAnsi="Arial" w:cs="Arial"/>
          <w:sz w:val="22"/>
          <w:szCs w:val="22"/>
        </w:rPr>
        <w:t>vedoucí Pobočky Teplice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2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9190B24" w:rsidR="008B50BB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0CD5E83" w14:textId="71AF99EF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8B15790" w14:textId="46792553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099BE4A" w14:textId="1525EE42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B32177E" w14:textId="7BBC1B7B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A772E4C" w14:textId="49381A1C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84E91CC" w14:textId="493BE89F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A57E75E" w14:textId="3953BF31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CDA7D8F" w14:textId="450FD115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AD4EF52" w14:textId="25EDC45A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D9286F0" w14:textId="694F81A6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A2D9CB1" w14:textId="32E0EE8B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A2C25D5" w14:textId="0AB44655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0FAD85C" w14:textId="724B2513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7DA3A12" w14:textId="19F29B3C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B3A0658" w14:textId="4C1224A0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F13F2FA" w14:textId="6B5D4D64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56ED6CF" w14:textId="3833A92D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0EE056E" w14:textId="36531DE2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DAE4789" w14:textId="11FB23D8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A9ADD79" w14:textId="522F5A26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DA252EB" w14:textId="57540FE2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EF23D86" w14:textId="3E2F1126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EB1C5FB" w14:textId="75050C97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DC0F7F6" w14:textId="4EF582FD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BAF0FF5" w14:textId="460400FF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2A70C0F" w14:textId="7D86519E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BB91B74" w14:textId="66142495" w:rsid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CC34C3">
        <w:rPr>
          <w:rFonts w:ascii="Arial" w:hAnsi="Arial" w:cs="Arial"/>
          <w:sz w:val="22"/>
          <w:szCs w:val="22"/>
        </w:rPr>
        <w:lastRenderedPageBreak/>
        <w:t>Příloha č. 1 - Seznam vytyčovaných pozemků s uvedením katastrálního území</w:t>
      </w:r>
    </w:p>
    <w:tbl>
      <w:tblPr>
        <w:tblW w:w="81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7181"/>
      </w:tblGrid>
      <w:tr w:rsidR="00CC34C3" w:rsidRPr="008F0A8E" w14:paraId="46B83478" w14:textId="77777777" w:rsidTr="005E22D0">
        <w:trPr>
          <w:trHeight w:val="43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64FB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LV 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B9DE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</w:t>
            </w:r>
            <w:r w:rsidRPr="008F0A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ozemky</w:t>
            </w:r>
          </w:p>
        </w:tc>
      </w:tr>
      <w:tr w:rsidR="00CC34C3" w:rsidRPr="008F0A8E" w14:paraId="0F9DD119" w14:textId="77777777" w:rsidTr="005E22D0">
        <w:trPr>
          <w:trHeight w:val="43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A9A0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52448" w14:textId="77777777" w:rsidR="00CC34C3" w:rsidRPr="008F0A8E" w:rsidRDefault="00CC34C3" w:rsidP="005E22D0">
            <w:pPr>
              <w:spacing w:before="0"/>
              <w:ind w:left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Seznam pozemků k vytyčení k.ú. 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Štrbice</w:t>
            </w:r>
          </w:p>
        </w:tc>
      </w:tr>
      <w:tr w:rsidR="00CC34C3" w:rsidRPr="008F0A8E" w14:paraId="480AFF82" w14:textId="77777777" w:rsidTr="005E22D0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77FC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6D877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633, 634</w:t>
            </w:r>
          </w:p>
        </w:tc>
      </w:tr>
      <w:tr w:rsidR="00CC34C3" w:rsidRPr="008F0A8E" w14:paraId="335BA3E4" w14:textId="77777777" w:rsidTr="005E22D0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F37E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21DBD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540, 542, 679, 680</w:t>
            </w:r>
          </w:p>
        </w:tc>
      </w:tr>
      <w:tr w:rsidR="00CC34C3" w:rsidRPr="008F0A8E" w14:paraId="0E362774" w14:textId="77777777" w:rsidTr="005E22D0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3F90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5A12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690</w:t>
            </w:r>
          </w:p>
        </w:tc>
      </w:tr>
      <w:tr w:rsidR="00CC34C3" w:rsidRPr="008F0A8E" w14:paraId="02B35D74" w14:textId="77777777" w:rsidTr="005E22D0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487C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D917E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632</w:t>
            </w:r>
          </w:p>
        </w:tc>
      </w:tr>
      <w:tr w:rsidR="00CC34C3" w:rsidRPr="008F0A8E" w14:paraId="37655775" w14:textId="77777777" w:rsidTr="005E22D0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D3FA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4F770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675, 730, 731, 732, 744, 745, 746</w:t>
            </w:r>
          </w:p>
        </w:tc>
      </w:tr>
      <w:tr w:rsidR="00CC34C3" w:rsidRPr="008F0A8E" w14:paraId="7B5926CF" w14:textId="77777777" w:rsidTr="005E22D0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0031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25BA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637</w:t>
            </w:r>
          </w:p>
        </w:tc>
      </w:tr>
      <w:tr w:rsidR="00CC34C3" w:rsidRPr="008F0A8E" w14:paraId="2A4ECDA9" w14:textId="77777777" w:rsidTr="005E22D0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2D607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83B8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502</w:t>
            </w:r>
          </w:p>
        </w:tc>
      </w:tr>
      <w:tr w:rsidR="00CC34C3" w:rsidRPr="008F0A8E" w14:paraId="57E823D3" w14:textId="77777777" w:rsidTr="005E22D0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49F7E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7691B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640</w:t>
            </w:r>
          </w:p>
        </w:tc>
      </w:tr>
      <w:tr w:rsidR="00CC34C3" w:rsidRPr="008F0A8E" w14:paraId="2748CF04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32898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431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95259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721</w:t>
            </w:r>
          </w:p>
        </w:tc>
      </w:tr>
      <w:tr w:rsidR="00CC34C3" w:rsidRPr="008F0A8E" w14:paraId="749C09AA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A8626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93465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607</w:t>
            </w:r>
          </w:p>
        </w:tc>
      </w:tr>
      <w:tr w:rsidR="00CC34C3" w:rsidRPr="008F0A8E" w14:paraId="6765BD72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AC15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555B5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514, 517, 526, 528, 541, 546, 645</w:t>
            </w:r>
          </w:p>
        </w:tc>
      </w:tr>
      <w:tr w:rsidR="00CC34C3" w:rsidRPr="008F0A8E" w14:paraId="364361B2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19D33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87EC0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556, 570</w:t>
            </w:r>
          </w:p>
        </w:tc>
      </w:tr>
      <w:tr w:rsidR="00CC34C3" w:rsidRPr="008F0A8E" w14:paraId="30D0E502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7AA40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B491F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591, 592, 593, 594, 595, 596, 597</w:t>
            </w:r>
          </w:p>
        </w:tc>
      </w:tr>
      <w:tr w:rsidR="00CC34C3" w:rsidRPr="008F0A8E" w14:paraId="562E9BF5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E40C9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84EAA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534, 562, 563</w:t>
            </w:r>
          </w:p>
        </w:tc>
      </w:tr>
      <w:tr w:rsidR="00CC34C3" w:rsidRPr="008F0A8E" w14:paraId="16700EB0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1FBCA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62E8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744</w:t>
            </w:r>
          </w:p>
        </w:tc>
      </w:tr>
      <w:tr w:rsidR="00CC34C3" w:rsidRPr="008F0A8E" w14:paraId="07EA4C14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03673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5C2AE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587</w:t>
            </w:r>
          </w:p>
        </w:tc>
      </w:tr>
      <w:tr w:rsidR="00CC34C3" w:rsidRPr="008F0A8E" w14:paraId="06A99DDD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55DF4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22672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608</w:t>
            </w:r>
          </w:p>
        </w:tc>
      </w:tr>
      <w:tr w:rsidR="00CC34C3" w:rsidRPr="008F0A8E" w14:paraId="360470E9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9CE79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D1B8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711, 712, 715, 702, 691, 688, 689, 692, 695, 644, 658</w:t>
            </w:r>
          </w:p>
        </w:tc>
      </w:tr>
      <w:tr w:rsidR="00CC34C3" w:rsidRPr="008F0A8E" w14:paraId="67F9D2E0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C7827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A6462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34C3" w:rsidRPr="008F0A8E" w14:paraId="1229AA38" w14:textId="77777777" w:rsidTr="005E22D0">
        <w:trPr>
          <w:trHeight w:val="45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BBF4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8504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Seznam pozemků k vytyčení k.ú. 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Chvalov</w:t>
            </w:r>
          </w:p>
        </w:tc>
      </w:tr>
      <w:tr w:rsidR="00CC34C3" w:rsidRPr="008F0A8E" w14:paraId="246CA281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EFEC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18CF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1275, 1286</w:t>
            </w:r>
          </w:p>
        </w:tc>
      </w:tr>
      <w:tr w:rsidR="00CC34C3" w:rsidRPr="008F0A8E" w14:paraId="5025EDF8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2F884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4CEFF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34C3" w:rsidRPr="008F0A8E" w14:paraId="7B576042" w14:textId="77777777" w:rsidTr="005E22D0">
        <w:trPr>
          <w:trHeight w:val="45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1B0F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F1BB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Seznam pozemků k vytyčení k.ú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 Podlešín</w:t>
            </w:r>
          </w:p>
        </w:tc>
      </w:tr>
      <w:tr w:rsidR="00CC34C3" w:rsidRPr="008F0A8E" w14:paraId="5449997A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AF32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20EAB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1185, 1184, 1186, 1308, 1309, 1366, 1367, 1391, 1382</w:t>
            </w:r>
          </w:p>
        </w:tc>
      </w:tr>
      <w:tr w:rsidR="00CC34C3" w:rsidRPr="008F0A8E" w14:paraId="46B30528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B19E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7BB23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1301, 1322, 1380</w:t>
            </w:r>
          </w:p>
        </w:tc>
      </w:tr>
      <w:tr w:rsidR="00CC34C3" w:rsidRPr="008F0A8E" w14:paraId="0E134AE3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9A865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E14DE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1207, 1223, 1225, 1252, 1253, 1259, 1276, 1281, 1282, 1307</w:t>
            </w:r>
          </w:p>
        </w:tc>
      </w:tr>
      <w:tr w:rsidR="00CC34C3" w:rsidRPr="008F0A8E" w14:paraId="3BA0202C" w14:textId="77777777" w:rsidTr="005E22D0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CAFD3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DE75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1169, 1209, 1210, 1233, 1237, 1319, 1331, 1353</w:t>
            </w:r>
          </w:p>
        </w:tc>
      </w:tr>
      <w:tr w:rsidR="00CC34C3" w:rsidRPr="008F0A8E" w14:paraId="0E6C2FB1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F0098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67B12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1231, 1299</w:t>
            </w:r>
          </w:p>
        </w:tc>
      </w:tr>
      <w:tr w:rsidR="00CC34C3" w:rsidRPr="008F0A8E" w14:paraId="27204CDD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E5E15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C4218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1181, 1374</w:t>
            </w:r>
          </w:p>
        </w:tc>
      </w:tr>
      <w:tr w:rsidR="00CC34C3" w:rsidRPr="008F0A8E" w14:paraId="29638CA0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19254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76467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1241</w:t>
            </w:r>
          </w:p>
        </w:tc>
      </w:tr>
      <w:tr w:rsidR="00CC34C3" w:rsidRPr="008F0A8E" w14:paraId="513350F3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69B5B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2EBF7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1228</w:t>
            </w:r>
          </w:p>
        </w:tc>
      </w:tr>
      <w:tr w:rsidR="00CC34C3" w:rsidRPr="008F0A8E" w14:paraId="38EAB19B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5B89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567C5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1354, 1370</w:t>
            </w:r>
          </w:p>
        </w:tc>
      </w:tr>
      <w:tr w:rsidR="00CC34C3" w:rsidRPr="008F0A8E" w14:paraId="50F0BC84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5443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956B8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34C3" w:rsidRPr="008F0A8E" w14:paraId="6368D946" w14:textId="77777777" w:rsidTr="005E22D0">
        <w:trPr>
          <w:trHeight w:val="45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EE78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3541" w14:textId="77777777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Seznam pozemků k vytyčení k.ú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 Štěpánov u Lukova</w:t>
            </w:r>
          </w:p>
        </w:tc>
      </w:tr>
      <w:tr w:rsidR="00CC34C3" w:rsidRPr="008F0A8E" w14:paraId="2C378819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44A64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6B0C0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568, 569</w:t>
            </w:r>
          </w:p>
        </w:tc>
      </w:tr>
      <w:tr w:rsidR="00CC34C3" w:rsidRPr="008F0A8E" w14:paraId="3F16AD46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CF275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E685F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565, 566, 567</w:t>
            </w:r>
          </w:p>
        </w:tc>
      </w:tr>
      <w:tr w:rsidR="00CC34C3" w:rsidRPr="008F0A8E" w14:paraId="7B42AE8B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22913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EA527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465, 468, 478, 678</w:t>
            </w:r>
          </w:p>
        </w:tc>
      </w:tr>
      <w:tr w:rsidR="00CC34C3" w:rsidRPr="008F0A8E" w14:paraId="3C6239DE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F017B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8B69B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539, 538, 537, 532, 524, 505, 523, 546</w:t>
            </w:r>
          </w:p>
        </w:tc>
      </w:tr>
      <w:tr w:rsidR="00CC34C3" w:rsidRPr="008F0A8E" w14:paraId="2C4C2B3B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2C029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29573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515</w:t>
            </w:r>
          </w:p>
        </w:tc>
      </w:tr>
      <w:tr w:rsidR="00CC34C3" w:rsidRPr="008F0A8E" w14:paraId="35401DDE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30BB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1358C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556</w:t>
            </w:r>
          </w:p>
        </w:tc>
      </w:tr>
      <w:tr w:rsidR="00CC34C3" w:rsidRPr="008F0A8E" w14:paraId="077DEF8C" w14:textId="77777777" w:rsidTr="005E22D0">
        <w:trPr>
          <w:trHeight w:val="45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A310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9FB7" w14:textId="198C281B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Seznam pozemků k vytyčení k.ú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 Radovesice + k.ú. Hetov</w:t>
            </w:r>
          </w:p>
        </w:tc>
      </w:tr>
      <w:tr w:rsidR="00CC34C3" w:rsidRPr="008F0A8E" w14:paraId="0AF5B474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8CF4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467 - H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B1DDF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498</w:t>
            </w:r>
          </w:p>
        </w:tc>
      </w:tr>
      <w:tr w:rsidR="00CC34C3" w:rsidRPr="008F0A8E" w14:paraId="1A6C5C1F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881B6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473 - R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4E61B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1807, 1839</w:t>
            </w:r>
          </w:p>
        </w:tc>
      </w:tr>
      <w:tr w:rsidR="00CC34C3" w:rsidRPr="008F0A8E" w14:paraId="22DCCE2D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6E196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464 - H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068A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468, 493, 480, 475</w:t>
            </w:r>
          </w:p>
        </w:tc>
      </w:tr>
      <w:tr w:rsidR="00CC34C3" w:rsidRPr="008F0A8E" w14:paraId="20B856BE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E5983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24 - R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C9CCD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1956, 1957, 1834, 1854, 1855, 1874</w:t>
            </w:r>
          </w:p>
        </w:tc>
      </w:tr>
      <w:tr w:rsidR="00CC34C3" w:rsidRPr="008F0A8E" w14:paraId="27D97F28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6AA6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444 - H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C41EB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516</w:t>
            </w:r>
          </w:p>
        </w:tc>
      </w:tr>
      <w:tr w:rsidR="00CC34C3" w:rsidRPr="008F0A8E" w14:paraId="34D51352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FF081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430 - H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A6FEF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525</w:t>
            </w:r>
          </w:p>
        </w:tc>
      </w:tr>
      <w:tr w:rsidR="00CC34C3" w:rsidRPr="008F0A8E" w14:paraId="08C78AAC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2EF0D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469 - H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9C3C1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486</w:t>
            </w:r>
          </w:p>
        </w:tc>
      </w:tr>
      <w:tr w:rsidR="00CC34C3" w:rsidRPr="008F0A8E" w14:paraId="1D117AE5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FADDE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470 - R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DFF21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1875</w:t>
            </w:r>
          </w:p>
        </w:tc>
      </w:tr>
      <w:tr w:rsidR="00CC34C3" w:rsidRPr="008F0A8E" w14:paraId="61D47662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457DE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360 - R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BADBA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1912</w:t>
            </w:r>
          </w:p>
        </w:tc>
      </w:tr>
      <w:tr w:rsidR="00CC34C3" w:rsidRPr="008F0A8E" w14:paraId="18C3F3D2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E8830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B5335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34C3" w:rsidRPr="008F0A8E" w14:paraId="5CC6EABB" w14:textId="77777777" w:rsidTr="005E22D0">
        <w:trPr>
          <w:trHeight w:val="45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716B" w14:textId="77777777" w:rsidR="00CC34C3" w:rsidRPr="008F0A8E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DD33" w14:textId="21367D10" w:rsidR="00CC34C3" w:rsidRPr="008F0A8E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Seznam pozemků k vytyčení k.ú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1E0D4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Křemýž</w:t>
            </w:r>
          </w:p>
        </w:tc>
      </w:tr>
      <w:tr w:rsidR="00CC34C3" w:rsidRPr="008F0A8E" w14:paraId="2F44DA09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7F5DA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F97F1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928</w:t>
            </w:r>
          </w:p>
        </w:tc>
      </w:tr>
      <w:tr w:rsidR="00CC34C3" w:rsidRPr="008F0A8E" w14:paraId="6FB76C4F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D4ACE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C23D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982</w:t>
            </w:r>
          </w:p>
        </w:tc>
      </w:tr>
      <w:tr w:rsidR="00CC34C3" w:rsidRPr="008F0A8E" w14:paraId="400773B6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2FDD8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13E14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705</w:t>
            </w:r>
          </w:p>
        </w:tc>
      </w:tr>
      <w:tr w:rsidR="00CC34C3" w:rsidRPr="008F0A8E" w14:paraId="0ADA56E4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EDCEA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DE800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917, 919, 929, 932, 936, 937, 939, 941, 946, 948, st. 248</w:t>
            </w:r>
          </w:p>
        </w:tc>
      </w:tr>
      <w:tr w:rsidR="00CC34C3" w:rsidRPr="008F0A8E" w14:paraId="7C691665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2B49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9424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781</w:t>
            </w:r>
          </w:p>
        </w:tc>
      </w:tr>
      <w:tr w:rsidR="00CC34C3" w:rsidRPr="008F0A8E" w14:paraId="13BA16A7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D216B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7E21B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653, 923</w:t>
            </w:r>
          </w:p>
        </w:tc>
      </w:tr>
      <w:tr w:rsidR="00CC34C3" w:rsidRPr="008F0A8E" w14:paraId="7ADF1817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3CD46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6D0A4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791, 796, 797</w:t>
            </w:r>
          </w:p>
        </w:tc>
      </w:tr>
      <w:tr w:rsidR="00CC34C3" w:rsidRPr="008F0A8E" w14:paraId="6BDA0E9D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C1580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1C61C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692</w:t>
            </w:r>
          </w:p>
        </w:tc>
      </w:tr>
      <w:tr w:rsidR="00CC34C3" w:rsidRPr="008F0A8E" w14:paraId="58C45112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F9359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48FF9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828</w:t>
            </w:r>
          </w:p>
        </w:tc>
      </w:tr>
      <w:tr w:rsidR="00CC34C3" w:rsidRPr="008F0A8E" w14:paraId="42127E21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70510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A3BBC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893</w:t>
            </w:r>
          </w:p>
        </w:tc>
      </w:tr>
      <w:tr w:rsidR="00CC34C3" w:rsidRPr="008F0A8E" w14:paraId="47AB759E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81DE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BFF3D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711</w:t>
            </w:r>
          </w:p>
        </w:tc>
      </w:tr>
      <w:tr w:rsidR="00CC34C3" w:rsidRPr="008F0A8E" w14:paraId="0FB5FB34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BF98E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1772F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753</w:t>
            </w:r>
          </w:p>
        </w:tc>
      </w:tr>
      <w:tr w:rsidR="00CC34C3" w:rsidRPr="008F0A8E" w14:paraId="637727D0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2A50C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2AF2C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657, 661, 662, 910, 683, 685, 691, 699, 915, 718, 720, 721, 722, 725, 726, 859, 860, 989, 877, 885, 908, 921, 922, 927, 947, 964, 966, 974, 978, 979, 980, 981</w:t>
            </w:r>
          </w:p>
        </w:tc>
      </w:tr>
      <w:tr w:rsidR="00CC34C3" w:rsidRPr="008F0A8E" w14:paraId="01F14E59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F4814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D0839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833</w:t>
            </w:r>
          </w:p>
        </w:tc>
      </w:tr>
      <w:tr w:rsidR="00CC34C3" w:rsidRPr="008F0A8E" w14:paraId="5A3CB634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7656E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AF02D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823</w:t>
            </w:r>
          </w:p>
        </w:tc>
      </w:tr>
      <w:tr w:rsidR="00CC34C3" w:rsidRPr="008F0A8E" w14:paraId="3DC773E0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6CA25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5E4CD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798</w:t>
            </w:r>
          </w:p>
        </w:tc>
      </w:tr>
      <w:tr w:rsidR="00CC34C3" w:rsidRPr="008F0A8E" w14:paraId="3BE56FDD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2554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5CFE5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703, 706, 782, 784, 785, 934, 994, 995</w:t>
            </w:r>
          </w:p>
        </w:tc>
      </w:tr>
      <w:tr w:rsidR="00CC34C3" w:rsidRPr="008F0A8E" w14:paraId="12EF4BE9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14BDF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89B02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724</w:t>
            </w:r>
          </w:p>
        </w:tc>
      </w:tr>
      <w:tr w:rsidR="00CC34C3" w:rsidRPr="008F0A8E" w14:paraId="51789EB2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FD542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4ED84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655</w:t>
            </w:r>
          </w:p>
        </w:tc>
      </w:tr>
      <w:tr w:rsidR="00CC34C3" w:rsidRPr="008F0A8E" w14:paraId="0338EBAF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CEB6B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3473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654</w:t>
            </w:r>
          </w:p>
        </w:tc>
      </w:tr>
      <w:tr w:rsidR="00CC34C3" w:rsidRPr="008F0A8E" w14:paraId="29155CFA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64C20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34045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678, 679, 680, 682, 686, 687, 688, 754, 756, 758, 762, 763, 764, 765, 767, 769, 829, 830, 924</w:t>
            </w:r>
          </w:p>
        </w:tc>
      </w:tr>
      <w:tr w:rsidR="00CC34C3" w:rsidRPr="008F0A8E" w14:paraId="65BA5A32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CA85B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3741E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670, 672, 674, 675, 676, 704, 707, 811, 850, 852, 853</w:t>
            </w:r>
          </w:p>
        </w:tc>
      </w:tr>
      <w:tr w:rsidR="00CC34C3" w:rsidRPr="008F0A8E" w14:paraId="3F9FE5D1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30BF4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56AD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663, 667</w:t>
            </w:r>
          </w:p>
        </w:tc>
      </w:tr>
      <w:tr w:rsidR="00CC34C3" w:rsidRPr="008F0A8E" w14:paraId="6635BF92" w14:textId="77777777" w:rsidTr="005E22D0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05AE4" w14:textId="77777777" w:rsidR="00CC34C3" w:rsidRDefault="00CC34C3" w:rsidP="005E22D0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C01B" w14:textId="77777777" w:rsidR="00CC34C3" w:rsidRDefault="00CC34C3" w:rsidP="005E22D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DCC4D6F" w14:textId="77777777" w:rsidR="00CC34C3" w:rsidRPr="00CC34C3" w:rsidRDefault="00CC34C3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CC34C3" w:rsidRPr="00CC34C3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246665C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</w:t>
    </w:r>
    <w:r w:rsidR="00A05CFB">
      <w:rPr>
        <w:rFonts w:ascii="Arial" w:hAnsi="Arial" w:cs="Arial"/>
        <w:sz w:val="16"/>
        <w:szCs w:val="16"/>
      </w:rPr>
      <w:t>o KoPÚ – Pobočka Teplice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6C327" w14:textId="77777777" w:rsidR="003B550C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</w:p>
  <w:p w14:paraId="6E5A20B8" w14:textId="2A768B21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3B550C">
      <w:rPr>
        <w:rFonts w:ascii="Arial" w:hAnsi="Arial" w:cs="Arial"/>
        <w:sz w:val="16"/>
        <w:szCs w:val="16"/>
      </w:rPr>
      <w:t>UID: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6C4DC506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</w:t>
    </w:r>
    <w:r w:rsidR="00A05CFB">
      <w:rPr>
        <w:rFonts w:ascii="Arial" w:hAnsi="Arial" w:cs="Arial"/>
        <w:sz w:val="16"/>
        <w:szCs w:val="16"/>
      </w:rPr>
      <w:t xml:space="preserve"> KoPÚ – Pobočka Teplice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0D44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37D27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B550C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F50DE"/>
    <w:rsid w:val="00403F57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D3212"/>
    <w:rsid w:val="005E362D"/>
    <w:rsid w:val="005E38D0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84CD8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2E37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4747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5CFB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492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2315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34C3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35D64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65C54"/>
    <w:rsid w:val="00E67C7C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Hypertextovodkaz">
    <w:name w:val="Hyperlink"/>
    <w:basedOn w:val="Standardnpsmoodstavce"/>
    <w:uiPriority w:val="99"/>
    <w:unhideWhenUsed/>
    <w:rsid w:val="00A05CF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05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eplice.pk@spuc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purl.org/dc/terms/"/>
    <ds:schemaRef ds:uri="0e91f575-6fab-42fd-90b1-cf5076f1288e"/>
    <ds:schemaRef ds:uri="http://schemas.microsoft.com/office/2006/documentManagement/types"/>
    <ds:schemaRef ds:uri="http://purl.org/dc/dcmitype/"/>
    <ds:schemaRef ds:uri="http://purl.org/dc/elements/1.1/"/>
    <ds:schemaRef ds:uri="96d89aea-7c17-4746-a528-e0c0b049a2f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5f4b5cc-4033-44c7-b405-f5eed34c8154"/>
    <ds:schemaRef ds:uri="a10cb3f4-6df0-432d-a88a-550b10af406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14</Pages>
  <Words>5054</Words>
  <Characters>29821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Fingerhut Karel</cp:lastModifiedBy>
  <cp:revision>11</cp:revision>
  <cp:lastPrinted>2019-05-02T06:41:00Z</cp:lastPrinted>
  <dcterms:created xsi:type="dcterms:W3CDTF">2022-04-14T05:04:00Z</dcterms:created>
  <dcterms:modified xsi:type="dcterms:W3CDTF">2023-04-14T09:08:00Z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